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М И Н И С Т Е Р С Т В О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ОБЩЕГО  И ПРОФЕССИОНАЛЬНОГО  ОБРАЗОВАНИЯ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РОССИЙСКОЙ ФЕДЕРАЦИИ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 УТВЕРЖДАЮ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Первый Заместитель Министра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В.М.ЖУРАКОВСКИЙ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 31.01.97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ГОСУДАРСТВЕННЫЙ ОБРАЗОВАТЕЛЬНЫЙ СТАНДАРТ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ВЫСШЕГО ПРОФЕССИОНАЛЬНОГО ОБРАЗОВАНИЯ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Государственные требования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к минимуму содержания и уровню подготовки магистра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по  направлению 551100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"Проектирование и технология электронных средств"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                     Действует в качестве временных требований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до  введения в действие стандарта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Москва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1997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-2-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1. Общая характеристика направления 551100-Проектирование и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технология электронных средств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1.1. Направление  утверждено  приказом  Государственного Комитета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Российской Федерации по высшему образованию от 5 марта 1994 года N 180.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1.2. Нормативный  срок  освоения профессиональной образовательной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программы при очной форме обучения - 6 лет.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Квалификация (степень) - Магистр техники и технологий.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1.3. Проблемное поле направления. Аннотированный  перечень магис-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терских программ направления (научных специализаций).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551101. Устройства радиотехники и средств связи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Пассивные линейные стационарные цепи: описание цепей во временной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 частотной области, критерии устойчивости, спектральный анализ сигна-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лов. Схемотехника аналоговых устройств: основные усилительные схемы на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биполярных и полевых транзисторах,  операционные усилители, аналоговые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схемы на  операционных усилителях,  активные RС-фильтры.  Нелинейные и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параметрические цепи:  автогенераторы,  усилители мощности, резонанс в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нелинейных цепях, баланс мощностей в параметрических цепях.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Радиотехнические системы передачи информации.  Виды  сообщений  и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принципы построения  каналов  связи.  Структурная схема системы связи.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Основные процессы при передаче информации.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Системы связи:  наземные, транспортные, с  использованием  искус-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ственных спутников земли.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Структурные схемы,  основные параметры. Особенности учета условий экс-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плуатации. Телевизионные системы.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Основные принципы проектирования радиотехнических средств и  сис-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тем. Возможности автоматизации проектирования.  Конструктивные, техно-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логические, экономические, экологические аспекты процесса проектирова-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ния во  всем  цикле  создания  радиотехнических систем - от элементной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базы до эксплуатации систем.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551102. Радиоэлектронные средства специального назначения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и технология их производства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Радиоэлектронные средства (РЭС) специального назначения: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РЭС, работающие в условиях экстремально высокой радиационной обстанов-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ки; в условиях экстремальных механических воздействий.  Характеристики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 параметры  внешних воздействий и их влияние на качество функциональ-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ной аппаратуры.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-3-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Защита электронных средств от механических воздействий.Увеличение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жесткости и демпфирования.  Проектирование амортизаторов и их примене-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ние.   Рекомендации  по проектированию вибро- и ударопрочной, вибро- и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удароустойчивой  аппаратуры.  Защита аппаратуры от  акустических  воз-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действий.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Тепло- и массообмен в электронных средствах.  Методы  и  средства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обеспечения нормального теплового режима аппаратуры.  Внешние  воздей-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ствующие факторы специальных сред. Защита электронных средств от иони-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зирующих излучений.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Методы и средства испытаний электронных  средств  на  воздействие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внешних факторов.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Электромагнитная  совместимость (ЭМС) технических (радиоэлектрон-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ных, электронно-вычислительных, электротехнических) средств. Радиочас-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тотный  ресурс и международное соглашение  по его  использованию. Био-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электромагнитная совместимость.  Защита электронных средств от несанк-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ционированного доступа  информации. Электромагнитные помехи (ЭМП). Ис-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точники и рецепторы ЭМП естественного и  искусственного происхождения.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Воздействие электромагнитного  импульса и электростатических разрядов.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Особенности воздействия ЭМП  на радиоэлектронную и электронно-вычисли-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тельную аппаратуру. Характеристики и параметры ЭМП источников и рецеп-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торов  ЭМП. Электромагнитная  обстановка. Нормативно-техническая доку-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ментация  в области ЭМП. Сертификация  аппаратуры  по требованиям ЭМС.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Методы  и средства  обеспечения ЭМС.  Компоновка и монтаж  аппаратуры.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Проектирование  экранов, межсистемных и внутрисистемных фильтров. Про-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ектирование систем заземления.  Измерение  характеристик и  параметров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ЭМС. Измерительная аппаратура и испытательное  оборудование.  Методика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проектирования и эксплуатации технических средств с учетом ЭМС. Техни-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ческая диагностика аппаратуры по требованиям ЭМС.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551103.  Микроэлектроника и техника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сверхвысоких частот (СВЧ)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Волноведущие структуры микроэлектроники СВЧ:  микрополосковые ли-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нии, копланарные линии, щелевые линии, квазиоптические линии передачи.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Транзисторы СВЧ:  полевые с затвором Шоттки, биполярные, транзис-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торы с высокой подвижностью носителей (с двумерным электронным газом),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с проницаемой базой, модели и характеристики транзисторов.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-4-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Транзисторные усилители СВЧ (гибридные схемы): проектирование уз-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кополосных и широкополосных усилителей,  расчет согласующих цепей, ма-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лошумящие усилители.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Монолитные усилительные схемы: топологические особенности, схемо-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технические и технологические приемы проектирования монолитных  усили-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телей и  управляющих  устройств  СВЧ,  особенности проектирования уст-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ройств мм-диапазона.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Преобразователи частоты.  Высокотемпературная сверхпроводимость в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микроэлектронике СВЧ.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Проектирование антенн СВЧ,выполненных средствами микроэлектронной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технологии.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САПР в микроэлектронике СВЧ.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551104.  Менеджмент в электронике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Понятие технологической  цепочки разработки,  изготовления и экс-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плуатации РЭС.  Системный подход в рассмотрении технологической цепоч-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ки. Особенности ее организациии,иерархическая структура,показатели ка-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чества функционирования,  влияние внутренних и внешних факторов. Мони-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торинг, его  комплексные  и типовые задачи.  Предприятие (объединение)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как объект управления. Основы финансовой политики предприятия. Опреде-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ление состава,  объема  и сроков работ по подразделениям.Пути снижения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материальных и трудовых затрат.Рациональная организация процессов про-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ектирования, производства и сервисного обслуживания. Принципы совмеще-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ния технических,  экономических и  организационых  задач.  Оптимизация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последовательности и  рационального сочетания работ.Комплекс мероприя-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тий по технологической подготовке производства.  Организация снабжения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 обслуживания рабочих мест. Определение парка необходимого оборудова-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ния, средств оргтехники и телекоммуникаций.Информационные технологии в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анализе и обобщении передового опыта. Формирование и использование ин-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формационных фондов.  Методы, технические и программные средства обес-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печения документооборота.   Прогнозирование  путей  развития  техники.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Оценка уровня разработки,  проектирования и  производства.  Разработка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нормативно-технической документации,  руководящих материалов и положе-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ний. Отечественное и международное регулирование  безопасности, ЭМС  и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качества электронных средств. Таможенные правила. Сертификация продук-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ции и услуг. Концепция защиты предприятия и целостности его информаци-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онных массивов. Рекламная деятельность.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-5-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551105.  Информационные технологии проектирования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электронных средств (ЭС)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Математическое моделирование в процессе схемотехнического и конс-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трукторского проектирования ЭС. Технология автоматизированного проек-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тирования ЭС. Понятие САПР. Описание блок-схемы и характеристика типов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автоматизированного проектирования ЭС.  Формализованное  представление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электрических, механических,  тепловых  и других физических процессов,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протекающих в схемах и конструкциях ЭС.  Математические модели радиоэ-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лементов и элементы конструкций ЭС и методы идентификации их  парамет-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ров. Математические модели ЭС и их классификация.  Виды расчетов ЭС в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процессе автоматизированного проектирования.  Связь между подсистемами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схемотехнического и конструкторского проектирования.  Анализ результа-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тов расчета в сопоставлении с требованиями ТЗ.  Принципы построения  и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общая характеристика САПР ЭС.  Математическое обеспечение САПР. Инфор-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мационное обеспечение САПР,  принципы его  организации  и  пополнения.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Техническое обеспечение САПР. Применение  экспертных систем в процессе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автоматизированного проектирования ЭС.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551106.  Обеспечение качества и сертификация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электронных средств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Обеспечение качества  -  методологическая основа проектирования и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производства ЭС. Философское и товароведческое понятие качества. Прин-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ципы системного подхода при обеспечении качества.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Основы квалиметрии. Использование  методов математической статис-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тики в  обеспечении  качества  (определение неизвестных характеристик,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корреляционный и регрессвный анализ). Выборочный контроль, оператив-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ные характеристики.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Нормативная база обеспечения качества - стандарты ИСО 9000 и  МЭК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40. Организационные основы построения систем обеспечения качества.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Сертификация средств измерений, продукции, систем обеспечения ка-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чества. Системы аттестации и аккредитации  испытательных центров и ла-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бораторий.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Имитационное моделирование  в  задачах анализа и синтеза качества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электронных средств.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Автоматизация сертификационных процессов и систем контроля элект-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ронных средств.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-6-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Основы  менеджмента  в  процессах  сертификации и обеспечения ка-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чества.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551107.  Проектирование и технология микропроцессорных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средств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Методология проектирования  процессорных СБИС:  организационного,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архитектурного, физического проектирования.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Эффективные архитектуры для СБИС компьютеров:  вычисления на базе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фон-неймановской архитектуры, доступ к операндам, регистровая архитек-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тура, микроархитектура   современных  микропроцессоров. Проектирование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микропроцессоров с учетом тестируемости: проблема тестирования, методы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проектирования, методы самотестирования.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Кремниевые компиляторы: функционирование кремниевого компилятора,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структура компилятора, направления дальнейшего развития.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Технология: физические ограничения в  микроэлектронных  приборах,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молекулярная электроника, основные технологические маршруты изготовле-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ния СБИС.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551108.  Элементы и устройства электронно-вычислительных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средств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Интегральные схемы  (ИС):  развитие  микроэлектроники,  состояние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технологии БИС,  тенденции  развития   ИС.   Законы   масштабирования;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задержка в межсоединениях; архитектурные типы ИС; стандартные ИС; мик-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ропроцессорные комплекты;  полузаказные и  заказные  БИС;  субсистемы;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трехмерные ИС; проблемы надежности ИС.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Микроэлектронные элементы на А  В , элементы  на арсениде галлия,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 основе гетеропереходов,  полевой транзистор на электронах с высокой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подвижностью, гетеробиполярные транзисторы,  сверхрешетки, синтетичес-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кие полупроводники.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Основные структуры полупроводниковых ИС: структуры биполярных ИС,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МОП ИС,МОП СБИС.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Периферийные устройства в составе ЭВМ.  Носители информации. Уст-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ройства ввода информации.  Регистрирующие устройства. Устройства рече-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вого обмена.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-7-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551109.  Технология эксплуатации и сервисное обслуживание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электронных средств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Условия эксплуатации ЭС. Конструирование и технология ЭС для экс-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плуатации в различных условиях. Источники помех ЭС и пути их распрост-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ранения. Воздействие помех на ЭС. Методы устранения влияния помех. Ме-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тоды защиты от воздействия помех.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Настройка ЭС.  Настройка контуров ВЧ устройств, сопряжение конту-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ров гетеродинных устройств.Настройка аналоговых устройств и  каскадов.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Обеспечение точности  настройки.  Выбор  перестраиваемых элементов при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разработке принципиальных схем.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Контроль работы  аналоговых и цифровых устройств.  Контролирующие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тесты. Измерения в аналоговых и цифровых каскадах. Измерение СВЧ пара-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метров. Приборы для контроля и испытаний.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Методы и схемы поиска неисправностей ЭС.  Комбинационные и после-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довательные схемы обнаружения неисправностей ЭС. Особенности аппарату-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ры контроля работоспособности ЭС.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551110.  Бытовые и медицинские электронные средства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Экспертные системы.  Медицинские диагностические программы. Прог-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раммы выбора эффективных методов терапии.  Основы физиологии и матема-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тического моделирования физиологических процессов.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Основы биологической и медицинской информатики.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Радио, телевизионные  и вычислительные  бытовые электронные  средства.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Обеспечение требований безопасности при разработке бытовых и  ме-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дицинских электронных средств.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Настройка и испытания бытовых и медицинских электронных средств.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1.4. Магистр должен быть подготовлен: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 области  фундаментальных  проблем  проектирования электронной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аппаратуры;  электронных,   радиотехнических   и  телекоммуникационных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средств и систем в объеме, необходимом  для  выполнения основных видов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профессиональной деятельности;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к самостоятельной деятельности,  требующей широкого образования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 углубленной профессиональной  специализации в области проектирования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 технологии электронных средств;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к овладению навыками научно-исследовательской  и научно-педаго-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гической работы;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к обучению в аспирантуре.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-8-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1.5 Основные сферы профессиональной деятельности магистра: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научные и научно-производственные учреждения и организации  лю-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бой формы собственности;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государственные и негосударственные средние,  средние специаль-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ные и высшие учебные заведения.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 Требования к уровню подготовки лиц, успешно завершивших обуче-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ние по основной профессиональной образовательной программе,  обеспечи-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вающей подготовку магистра по направлению 551100 -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"Проектирование и технология электронных средств"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Основная профессиональная образовательная программа, обеспечиваю-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щая подготовку  магистра,  состоит  из  программы обучения бакалавра и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программы специализированной подготовки.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2.1. Общие требования к образованности магистра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Общие требования к образованности магистра определяются  содержа-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нием аналогичного раздела требований к обязательному минимуму содержа-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ния и уровню подготовки бакалавра и требованиями, связанными со специ-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ализированной подготовкой.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Магистр по  направлению  551100  "Проектирование  и  технология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электронных средств" должен быть широко эрудирован, обладать фундамен-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тальной научной базой,  владеть методологией научного творчества, сов-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ременными информационными технологиями,  методами получения, обработки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 хранения научной информации, быть готовым к научно-исследовательской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 научно-педагогической деятельности.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2.2. Требования к знаниям и умениям по дисциплинам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2.2.1. Требования к знаниям и умениям по дисциплинам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программы обучения бакалавра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Требования к  знаниям и умениям по дисциплинам программы обучения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бакалавра изложены в Государственном образовательном стандарте высшего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профессионального образования  в части "Требований к обязательному ми-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нимуму  содержания и уровню  подготовки бакалавра  направления  551100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"Проектирование и   технология   электронных   средств",  утвержденных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27.04.1995 г.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-9-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2.2.2. Требования к знаниям и умениям  по  дисциплинам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образовательной части программы специализированной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подготовки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2.2.2.1 Требования по гуманитарным и социально-экономическим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дисциплинам.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Цикл дисциплин должен давать  возможность  углубленного  изучения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философских представлений о многообразии форм человеческих знаний, ро-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ли  науки и техники в развитии  цивилизации,  форм и  методов научного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познания.  Объем и содержание дисциплин  цикла могут быть  установлены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вузом с целью сдачи экзамена по программе кандидатского минимума.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Магистр должен: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- иметь подготовку,  достаточную для свободного чтения и  изложения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на   иностранном  языке  научно-технической  литературы в области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своей профессиональной деятельности;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- знать основы педагогики высшей школы;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- владеть основами преподавательской деятельности в высшей школе.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2.2.2.2. Требования по математическим и естественно-научным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дисциплинам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Магистр должен: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свободно владеть математическим аппаратом,  используемым в про-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фессиональной деятельности и знать о возможностях его использования  в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смежных направлениях науки и техники;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и уметь пользоваться новейшими информационными технологи-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ями, телекоммуникационными системами, информационными сетями, позволя-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ющими расширять возможности исследователя;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иметь углубленное представление о достижениях современной физи-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ки,  о  перспективах их  использования  в проектировании и  разработке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электронных средств.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2.2.2.3. Требования по дисциплинам направления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Магистр должен: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методы расчета и конструирования электронных средств;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владеть навыками проектирования электронных средств с привлече-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нием современных САПР;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иметь представление о тенденциях развития электронных  средств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 методов проектирования.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-10-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2.2.2.4. Требования к специальным дисциплинам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Требования к  образовательной  части программы специализированной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подготовки по специальным дисциплинам определяются вузом при  реализа-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ции конкретной магистерской программы.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2.3. Требования к знаниям и умениям по научно-исследовательской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части программы специализированной подготовки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Магистр должен уметь: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формулировать задачи исследования;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формулировать план исследования;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вести  библиографическую работу с привлечением  современных ин-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формационных технологий;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- выбирать  необходимые  методы исследования,  модифицировать су-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ществующие и разрабатывать новые методы,  исходя из задач  конкретного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исследования;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обрабатывать полученные результаты, анализировать и осмысливать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их с учетом имеющихся  литературных данных;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представлять итоги проделанной работы в виде  отчетов,  рефера-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тов, статей,  оформленных  в  соответствии с имеющимися требованиями и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 привлечением современных средств редактирования и печати.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-11-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3. Обязательный  минимум содержания основной профессиональной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образовательной программы, обеспечивающей подготовку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магистра по направлению 551100 "Проектирование и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технология электронных средств"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њњњњњњњњњњњњњњњњњњњњњњњњњњњњњњњњњњњњњњњњњњњњњњњњњњњњњњњњњњњњњњњњњњњњњњњњ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Индекс |             Наименование дисциплины                 | Объем в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|                                                     | часах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њњњњњњњњњњњњњњњњњњњњњњњњњњњњњњњњњњњњњњњњњњњњњњњњњњњњњњњњњњњњњњњњњњњњњњњњ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|                                                     |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|   Обязательный минимум содержания программы обучения|  7344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|                     бакалавра                       |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|                                                     |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Обязательный минимум содержания программы обучения бакалавра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определен в Государственном образовательном стандарте высшего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профессионального образования в части "Требований к обязатель-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ному минимуму содержания и уровню подготовки бакалавра по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направлению 5511x00 "Проектирование и технология электронных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средств", утвержденных 27.04.1995 г.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|   Обязательный минимум содержания программы         |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|           специализированной подготовки             |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|                                                     |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ГСЭ-М.00 |   Гуманитарные и социально-экономические дисциплины |  200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|                                                     |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|                                                     |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ЕН-М.00  |   Математические и естественно-научные дисциплины   |  252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|                                                     |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ЕН-M.01  |   Информационные технологии в науке и образовании   |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|      Информационно-вычислительные системы (ИВС):    |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| принципы организации и направления развития средств |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| ИВС. Эволюция технологии программирования: объектно |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| -ориентировочный подход.  Среды конечного пользова- |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| теля.                                               |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|      Телекоммуникационные системы (ТКС):            |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| виды и характеристики технических  средств, органи- |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| зация передачи информации, понятие протокола, марш- |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| рутизация и адресация.                              |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ab/>
      </w: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ab/>
      </w: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ab/>
      </w: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ab/>
        <w:t>-12-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|      Информационные сети:                           |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| локальные и глобальные, их интеграция, функциональ- |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| ные возможности сетей, средства  из поддержки. Рас- |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| пределенная  обработка информации. Сетевые  системы |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| управления базами данных.                           |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ЕН-М.02  |   Дисциплины, устанавливаемые вузом (факультетом)   |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|                                                     |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|                                                     |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  |                                                     |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ДНС-М.00 |   Дисциплины направления и специальные дисциплины   | 1130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|                                                     |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ДН-М.00  |   Дисциплины направления                            |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|                                                     |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ДН-М.01  |   Объектно-ориентированное моделирование и          |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|   проектирование электронных средств                |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|                                                     |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|      Основные понятия теории моделирования; класси- |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| фикация  видов  моделирования;  имитационные модели |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| имитационных процессов; математические методы моде- |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| лирования информационных процессов и систем; плани- |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| рование имитационных экспериментов с моделями; фор- |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| мализация и алгоритмизация информационных процессов;|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| концептуальные  модели информационных систем; логи- |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| ческая  структура моделей;  построение моделирующих |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| алгоритмов;  статистическое  моделирование  на ЭВМ; |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| оценка точности и достоверности результатов модели- |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| рования; инструментальные средства; языки моделиро- |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| вания; анализ и интерпретация результатов моделиро- |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| вания на ЭВМ; имитационное моделирование информаци- |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| онных  систем и  сетей.  Моделирование  электронных |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| средств.                                            |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|      Понятие  объектного моделирования и проектиро- |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| вания,  объектное  моделирование: объекты и классы, |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| связи и ассоциации, наследование, простая объектная |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| модель. Более сложные элементы объектного моделиро- |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| вания: агрегатирование, абстрактные классы, множес- |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| твенное наследование.  Динамическое  моделирование: |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| события и состояние. Системы  проектирования элект- |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| ронных средств.                                     |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ab/>
      </w: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ab/>
      </w: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ab/>
        <w:t xml:space="preserve">                             -13-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ДН-М.02  |   Дисциплины, устанавливаемые вузом (факультетом)   |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|                                                     |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СД-М.00  |   Специальные дисциплины                            |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ДВ-М.00  | Дисциплины по выбору студентов, установленные вузом |  470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|   Всего часов образовательной части программы       | 2000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|                                                     |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НИР-М.00 |   Научно-исследовательская работа                   | 1620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НИР-М.01 |   Научно-исследовательская работа в семестре        |  648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НИР-М.02 |   Научно-педагогическая практика (4 недели)         |  216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НИР-М.03 |   Подготовка магистерской диссертации (14 недель)   |  756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|                                                     |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|   Дополнительные виды образования и факультативы    |  214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|                                                     |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|   Защита магистерской диссертации (2 недели)        |  108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|                                                     |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|   Сессии (9 недель)                                 |  486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|   Всего часов по программе специализированной       | 4428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|   подготовки                                        |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|                                                     |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|   Общий объем часов, включая программу подготовки   |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|   бакалавра                                         | 11772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|    Итоговая государственная аттестация:             |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|    - защита выпускной квалификационной работы.      |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Профессиональная образовательная  программа  подготовки магистров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составлена, исходя из следующих данных:                   |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всего недель на освоение программы обучения бакалавра   |  204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всего недель на освоение программы специализированной   |   99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подготовки                                              |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в том числе:                                            |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на теоретическое обучение и научно-исследовательскую    |   53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работу в семестре                                       |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на научно-педагогическую практику                       |    4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на подготовку магистерской диссертации                  |   14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на итоговую государственную атестацию                   |    2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сессии                                                  |    9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каникулы                                                |   13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отпуск после окончания обучения                         |    4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----------------------------------------------------------------------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ab/>
        <w:t xml:space="preserve">                               -14-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4. Примечания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 При реализации  программы  специализированной  подготовки  вуз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(факультет) имеет право: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1.1. Изменять объем часов, отводимых на освоение учебного матери-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ала (для циклов дисциплин - в пределах 10%).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1.2. Осуществлять преподавание дисциплин, входящих в цикл, в виде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авторских курсов,  обеспечивающих  реализацию минимума содержания дис-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циплин, определяемого данным документом.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 Максимальный объем нагрузки студента,  включая  все  виды  его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учебной, научно-исследовательской  и научно-педагогической  работы, не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должен превышать 54 часов в неделю,  при этом максимальный объем ауди-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торных занятий студента не должен превышать,  в соответствии с Положе-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нием о магистратуре, 14 часов в неделю в среднем за весь период обуче-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ния.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По усмотрению вуза для итоговой аттестации может быть введен меж-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дисциплинарный экзамен.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3. Дисциплины по выбору студента,  устанавливаемые вузом, ДВ-М.00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 объеме  470 часов могут быть произвольно  распределены между циклами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дисциплин ГСЭ, ЕН и ДНС.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4. Студентам  предоставляется  возможность  за счет дисциплины по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выбору без увеличения общего объема часов, отводимых на освоение мате-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риала, выполнить  Государственные  Требования  к минимуму содержания и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уровню профессиональной подготовки выпускника для  получения  дополни-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тельной квалификации "Преподаватель высшей школы".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5. Рекомендуется предусмотреть для студентов-магистрантов возмож-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ность изучения иностранного языка и философии и сдачу по ним экзаменов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 программам кандидатского минимума.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6. Научно-исследовательская  практика выполняется в рамках часов,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отведенных на научно-исследовательскую работу.  Формы  ее  организации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определяются вузом. Практика может проводиться как в вузе, так и в от-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раслевых НИИ и академических институтах.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7. Студентам предоставляется возможность для  занятий  физической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культурой в объеме 2-4 часов в неделю.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8. В период  действия  данного  документа  Перечень  магистерских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программ может быть изменен и дополнен в установленном порядке.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</w:t>
      </w: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ab/>
      </w: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ab/>
      </w: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ab/>
        <w:t xml:space="preserve">   </w:t>
      </w: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ab/>
        <w:t>-15-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"Государственные требования к минимуму содержания и уровню подго-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товки магистра по направлению 551100 - "Проектирование и  технология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электронных средств" утверждены на заседании Научно-Методического Со-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вета по направлению "Проектирование и технология электронных  средств"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Учебно-Методического Объединения  по образованию в области автоматики,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электроники, микроэлектроники и радиоэлектроники 30 мая 1996 г.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Составитель: УМО по образованию в области автоматики,  электроники,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микроэлектроники и радиотехники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    О.В.АЛЕКСЕЕВ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Согласовано: Зам.министра                     А.Г.АСМОЛОВ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Управление образовательных стандартов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и программ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    Г.К.ШЕСТАКОВ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    В.С.СЕНАШЕНКО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    Е.П.ПОПОВА</w:t>
      </w: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2407F" w:rsidRPr="0042407F" w:rsidRDefault="0042407F" w:rsidP="0042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240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</w:t>
      </w:r>
    </w:p>
    <w:p w:rsidR="00290C70" w:rsidRDefault="00290C70"/>
    <w:sectPr w:rsidR="00290C70" w:rsidSect="005278FF">
      <w:pgSz w:w="11906" w:h="16838"/>
      <w:pgMar w:top="851" w:right="850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42407F"/>
    <w:rsid w:val="000405FA"/>
    <w:rsid w:val="000B4C90"/>
    <w:rsid w:val="00120BF3"/>
    <w:rsid w:val="00137957"/>
    <w:rsid w:val="001D177C"/>
    <w:rsid w:val="001E24D4"/>
    <w:rsid w:val="002000ED"/>
    <w:rsid w:val="002337E3"/>
    <w:rsid w:val="00260686"/>
    <w:rsid w:val="00290C70"/>
    <w:rsid w:val="002A2C24"/>
    <w:rsid w:val="003354CE"/>
    <w:rsid w:val="00361242"/>
    <w:rsid w:val="003A7E1D"/>
    <w:rsid w:val="003B1904"/>
    <w:rsid w:val="0042407F"/>
    <w:rsid w:val="0045062C"/>
    <w:rsid w:val="00492CBE"/>
    <w:rsid w:val="004E0CA5"/>
    <w:rsid w:val="00515A77"/>
    <w:rsid w:val="005278FF"/>
    <w:rsid w:val="00556BD9"/>
    <w:rsid w:val="00647106"/>
    <w:rsid w:val="00780A7A"/>
    <w:rsid w:val="00796386"/>
    <w:rsid w:val="0080066D"/>
    <w:rsid w:val="00810220"/>
    <w:rsid w:val="008A7B82"/>
    <w:rsid w:val="008F57FF"/>
    <w:rsid w:val="009042BB"/>
    <w:rsid w:val="00957EDE"/>
    <w:rsid w:val="00994E80"/>
    <w:rsid w:val="00A22AA4"/>
    <w:rsid w:val="00A30ED5"/>
    <w:rsid w:val="00AA6BB1"/>
    <w:rsid w:val="00AB0855"/>
    <w:rsid w:val="00BE7044"/>
    <w:rsid w:val="00C52E74"/>
    <w:rsid w:val="00D16BFA"/>
    <w:rsid w:val="00D962A3"/>
    <w:rsid w:val="00E743E7"/>
    <w:rsid w:val="00E91D60"/>
    <w:rsid w:val="00F25135"/>
    <w:rsid w:val="00F95A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32"/>
        <w:szCs w:val="32"/>
        <w:lang w:val="en-US" w:eastAsia="en-US" w:bidi="en-US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EDE"/>
    <w:pPr>
      <w:spacing w:line="240" w:lineRule="auto"/>
      <w:jc w:val="left"/>
    </w:pPr>
    <w:rPr>
      <w:sz w:val="24"/>
    </w:rPr>
  </w:style>
  <w:style w:type="paragraph" w:styleId="1">
    <w:name w:val="heading 1"/>
    <w:basedOn w:val="a"/>
    <w:next w:val="a"/>
    <w:link w:val="10"/>
    <w:uiPriority w:val="9"/>
    <w:qFormat/>
    <w:rsid w:val="00E743E7"/>
    <w:pPr>
      <w:spacing w:before="480"/>
      <w:contextualSpacing/>
      <w:outlineLvl w:val="0"/>
    </w:pPr>
    <w:rPr>
      <w:smallCaps/>
      <w:spacing w:val="5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E743E7"/>
    <w:pPr>
      <w:spacing w:before="200" w:line="271" w:lineRule="auto"/>
      <w:outlineLvl w:val="1"/>
    </w:pPr>
    <w:rPr>
      <w:smallCap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E743E7"/>
    <w:pPr>
      <w:spacing w:before="20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E743E7"/>
    <w:pPr>
      <w:spacing w:line="271" w:lineRule="auto"/>
      <w:outlineLvl w:val="3"/>
    </w:pPr>
    <w:rPr>
      <w:b/>
      <w:bCs/>
      <w:spacing w:val="5"/>
      <w:szCs w:val="24"/>
    </w:rPr>
  </w:style>
  <w:style w:type="paragraph" w:styleId="5">
    <w:name w:val="heading 5"/>
    <w:basedOn w:val="a"/>
    <w:next w:val="a"/>
    <w:link w:val="50"/>
    <w:uiPriority w:val="9"/>
    <w:unhideWhenUsed/>
    <w:qFormat/>
    <w:rsid w:val="00E743E7"/>
    <w:pPr>
      <w:spacing w:line="271" w:lineRule="auto"/>
      <w:outlineLvl w:val="4"/>
    </w:pPr>
    <w:rPr>
      <w:i/>
      <w:iCs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E743E7"/>
    <w:pPr>
      <w:shd w:val="clear" w:color="auto" w:fill="FFFFFF" w:themeFill="background1"/>
      <w:spacing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7">
    <w:name w:val="heading 7"/>
    <w:basedOn w:val="a"/>
    <w:next w:val="a"/>
    <w:link w:val="70"/>
    <w:uiPriority w:val="9"/>
    <w:unhideWhenUsed/>
    <w:qFormat/>
    <w:rsid w:val="00E743E7"/>
    <w:pPr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8">
    <w:name w:val="heading 8"/>
    <w:basedOn w:val="a"/>
    <w:next w:val="a"/>
    <w:link w:val="80"/>
    <w:uiPriority w:val="9"/>
    <w:unhideWhenUsed/>
    <w:qFormat/>
    <w:rsid w:val="00E743E7"/>
    <w:pPr>
      <w:outlineLvl w:val="7"/>
    </w:pPr>
    <w:rPr>
      <w:b/>
      <w:bCs/>
      <w:color w:val="7F7F7F" w:themeColor="text1" w:themeTint="80"/>
      <w:sz w:val="20"/>
      <w:szCs w:val="20"/>
    </w:rPr>
  </w:style>
  <w:style w:type="paragraph" w:styleId="9">
    <w:name w:val="heading 9"/>
    <w:basedOn w:val="a"/>
    <w:next w:val="a"/>
    <w:link w:val="90"/>
    <w:uiPriority w:val="9"/>
    <w:unhideWhenUsed/>
    <w:qFormat/>
    <w:rsid w:val="00E743E7"/>
    <w:pPr>
      <w:spacing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43E7"/>
    <w:rPr>
      <w:smallCaps/>
      <w:spacing w:val="5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rsid w:val="00E743E7"/>
    <w:rPr>
      <w:smallCaps/>
      <w:sz w:val="28"/>
      <w:szCs w:val="28"/>
    </w:rPr>
  </w:style>
  <w:style w:type="character" w:customStyle="1" w:styleId="21">
    <w:name w:val="Заголовок 2 Знак1"/>
    <w:basedOn w:val="a0"/>
    <w:rsid w:val="00515A77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30">
    <w:name w:val="Заголовок 3 Знак"/>
    <w:basedOn w:val="a0"/>
    <w:link w:val="3"/>
    <w:uiPriority w:val="9"/>
    <w:rsid w:val="00E743E7"/>
    <w:rPr>
      <w:i/>
      <w:iCs/>
      <w:smallCaps/>
      <w:spacing w:val="5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E743E7"/>
    <w:rPr>
      <w:b/>
      <w:bCs/>
      <w:spacing w:val="5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rsid w:val="00E743E7"/>
    <w:rPr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E743E7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70">
    <w:name w:val="Заголовок 7 Знак"/>
    <w:basedOn w:val="a0"/>
    <w:link w:val="7"/>
    <w:uiPriority w:val="9"/>
    <w:rsid w:val="00E743E7"/>
    <w:rPr>
      <w:b/>
      <w:bCs/>
      <w:i/>
      <w:iCs/>
      <w:color w:val="5A5A5A" w:themeColor="text1" w:themeTint="A5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rsid w:val="00E743E7"/>
    <w:rPr>
      <w:b/>
      <w:bCs/>
      <w:color w:val="7F7F7F" w:themeColor="text1" w:themeTint="8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E743E7"/>
    <w:rPr>
      <w:b/>
      <w:bCs/>
      <w:i/>
      <w:iCs/>
      <w:color w:val="7F7F7F" w:themeColor="text1" w:themeTint="80"/>
      <w:sz w:val="18"/>
      <w:szCs w:val="18"/>
    </w:rPr>
  </w:style>
  <w:style w:type="paragraph" w:styleId="a3">
    <w:name w:val="Title"/>
    <w:basedOn w:val="a"/>
    <w:next w:val="a"/>
    <w:link w:val="a4"/>
    <w:uiPriority w:val="10"/>
    <w:qFormat/>
    <w:rsid w:val="00E743E7"/>
    <w:pPr>
      <w:spacing w:after="300"/>
      <w:contextualSpacing/>
    </w:pPr>
    <w:rPr>
      <w:smallCaps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E743E7"/>
    <w:rPr>
      <w:smallCaps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E743E7"/>
    <w:rPr>
      <w:i/>
      <w:iCs/>
      <w:smallCaps/>
      <w:spacing w:val="10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743E7"/>
    <w:rPr>
      <w:i/>
      <w:iCs/>
      <w:smallCaps/>
      <w:spacing w:val="10"/>
      <w:sz w:val="28"/>
      <w:szCs w:val="28"/>
    </w:rPr>
  </w:style>
  <w:style w:type="character" w:styleId="a7">
    <w:name w:val="Strong"/>
    <w:uiPriority w:val="22"/>
    <w:qFormat/>
    <w:rsid w:val="00E743E7"/>
    <w:rPr>
      <w:b/>
      <w:bCs/>
    </w:rPr>
  </w:style>
  <w:style w:type="character" w:styleId="a8">
    <w:name w:val="Emphasis"/>
    <w:uiPriority w:val="20"/>
    <w:qFormat/>
    <w:rsid w:val="00E743E7"/>
    <w:rPr>
      <w:b/>
      <w:bCs/>
      <w:i/>
      <w:iCs/>
      <w:spacing w:val="10"/>
    </w:rPr>
  </w:style>
  <w:style w:type="paragraph" w:styleId="a9">
    <w:name w:val="List Paragraph"/>
    <w:basedOn w:val="a"/>
    <w:uiPriority w:val="34"/>
    <w:qFormat/>
    <w:rsid w:val="00E743E7"/>
    <w:pPr>
      <w:ind w:left="720"/>
      <w:contextualSpacing/>
    </w:pPr>
  </w:style>
  <w:style w:type="paragraph" w:styleId="aa">
    <w:name w:val="No Spacing"/>
    <w:basedOn w:val="a"/>
    <w:uiPriority w:val="1"/>
    <w:qFormat/>
    <w:rsid w:val="00E743E7"/>
  </w:style>
  <w:style w:type="paragraph" w:styleId="22">
    <w:name w:val="Quote"/>
    <w:basedOn w:val="a"/>
    <w:next w:val="a"/>
    <w:link w:val="23"/>
    <w:uiPriority w:val="29"/>
    <w:qFormat/>
    <w:rsid w:val="00E743E7"/>
    <w:rPr>
      <w:i/>
      <w:iCs/>
    </w:rPr>
  </w:style>
  <w:style w:type="character" w:customStyle="1" w:styleId="23">
    <w:name w:val="Цитата 2 Знак"/>
    <w:basedOn w:val="a0"/>
    <w:link w:val="22"/>
    <w:uiPriority w:val="29"/>
    <w:rsid w:val="00E743E7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E743E7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E743E7"/>
    <w:rPr>
      <w:i/>
      <w:iCs/>
    </w:rPr>
  </w:style>
  <w:style w:type="character" w:styleId="ad">
    <w:name w:val="Subtle Emphasis"/>
    <w:uiPriority w:val="19"/>
    <w:qFormat/>
    <w:rsid w:val="00E743E7"/>
    <w:rPr>
      <w:i/>
      <w:iCs/>
    </w:rPr>
  </w:style>
  <w:style w:type="character" w:styleId="ae">
    <w:name w:val="Intense Emphasis"/>
    <w:uiPriority w:val="21"/>
    <w:qFormat/>
    <w:rsid w:val="00E743E7"/>
    <w:rPr>
      <w:b/>
      <w:bCs/>
      <w:i/>
      <w:iCs/>
    </w:rPr>
  </w:style>
  <w:style w:type="character" w:styleId="af">
    <w:name w:val="Subtle Reference"/>
    <w:basedOn w:val="a0"/>
    <w:uiPriority w:val="31"/>
    <w:qFormat/>
    <w:rsid w:val="00E743E7"/>
    <w:rPr>
      <w:smallCaps/>
    </w:rPr>
  </w:style>
  <w:style w:type="character" w:styleId="af0">
    <w:name w:val="Intense Reference"/>
    <w:uiPriority w:val="32"/>
    <w:qFormat/>
    <w:rsid w:val="00E743E7"/>
    <w:rPr>
      <w:b/>
      <w:bCs/>
      <w:smallCaps/>
    </w:rPr>
  </w:style>
  <w:style w:type="character" w:styleId="af1">
    <w:name w:val="Book Title"/>
    <w:basedOn w:val="a0"/>
    <w:uiPriority w:val="33"/>
    <w:qFormat/>
    <w:rsid w:val="00E743E7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E743E7"/>
    <w:pPr>
      <w:outlineLvl w:val="9"/>
    </w:pPr>
  </w:style>
  <w:style w:type="paragraph" w:styleId="HTML">
    <w:name w:val="HTML Preformatted"/>
    <w:basedOn w:val="a"/>
    <w:link w:val="HTML0"/>
    <w:uiPriority w:val="99"/>
    <w:semiHidden/>
    <w:unhideWhenUsed/>
    <w:rsid w:val="0042407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val="ru-RU" w:eastAsia="ru-RU" w:bidi="ar-SA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2407F"/>
    <w:rPr>
      <w:rFonts w:ascii="Courier New" w:eastAsia="Times New Roman" w:hAnsi="Courier New" w:cs="Courier New"/>
      <w:sz w:val="20"/>
      <w:szCs w:val="20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209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4516</Words>
  <Characters>25745</Characters>
  <Application>Microsoft Office Word</Application>
  <DocSecurity>0</DocSecurity>
  <Lines>214</Lines>
  <Paragraphs>60</Paragraphs>
  <ScaleCrop>false</ScaleCrop>
  <Company>Microsoft</Company>
  <LinksUpToDate>false</LinksUpToDate>
  <CharactersWithSpaces>30201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2017-06-16T13:27:00Z</dcterms:created>
  <dcterms:modified xsi:type="dcterms:W3CDTF">2017-06-16T13:27:00Z</dcterms:modified>
</cp:coreProperties>
</file>